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XSpec="center" w:tblpY="-372" w:topFromText="0" w:vertAnchor="text"/>
        <w:tblW w:w="9570" w:type="dxa"/>
        <w:jc w:val="center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val="04a0"/>
      </w:tblPr>
      <w:tblGrid>
        <w:gridCol w:w="778"/>
        <w:gridCol w:w="794"/>
        <w:gridCol w:w="1566"/>
        <w:gridCol w:w="3293"/>
        <w:gridCol w:w="1562"/>
        <w:gridCol w:w="1576"/>
      </w:tblGrid>
      <w:tr>
        <w:trPr/>
        <w:tc>
          <w:tcPr>
            <w:tcW w:w="3138" w:type="dxa"/>
            <w:gridSpan w:val="3"/>
            <w:tcBorders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b/>
                <w:b/>
                <w:sz w:val="32"/>
                <w:szCs w:val="32"/>
                <w:lang w:val="en-US" w:eastAsia="en-US"/>
              </w:rPr>
            </w:pPr>
            <w:r>
              <w:rPr>
                <w:rFonts w:eastAsia="" w:eastAsiaTheme="minorEastAsia"/>
                <w:b/>
                <w:sz w:val="32"/>
                <w:szCs w:val="32"/>
                <w:lang w:val="en-US" w:eastAsia="en-US"/>
              </w:rPr>
            </w:r>
          </w:p>
        </w:tc>
        <w:tc>
          <w:tcPr>
            <w:tcW w:w="3293" w:type="dxa"/>
            <w:tcBorders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b/>
                <w:b/>
                <w:sz w:val="32"/>
                <w:szCs w:val="32"/>
                <w:lang w:val="en-US" w:eastAsia="en-US"/>
              </w:rPr>
            </w:pPr>
            <w:r>
              <w:rPr/>
              <w:drawing>
                <wp:inline distT="0" distB="0" distL="0" distR="0">
                  <wp:extent cx="847725" cy="1028700"/>
                  <wp:effectExtent l="0" t="0" r="0" b="0"/>
                  <wp:docPr id="1" name="Рисунок 9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9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8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569" w:type="dxa"/>
            <w:gridSpan w:val="6"/>
            <w:tcBorders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 САВИНСКОГО  МУНИЦИПАЛЬНОГО  РАЙОНА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ИВАНОВСКОЙ  ОБЛАСТИ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" w:eastAsiaTheme="minorEastAsia"/>
                <w:b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78" w:type="dxa"/>
            <w:tcBorders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b/>
                <w:b/>
                <w:sz w:val="32"/>
                <w:szCs w:val="32"/>
                <w:lang w:eastAsia="en-US"/>
              </w:rPr>
            </w:pPr>
            <w:r>
              <w:rPr>
                <w:rFonts w:eastAsia="" w:eastAsiaTheme="minorEastAsia"/>
                <w:b/>
                <w:sz w:val="32"/>
                <w:szCs w:val="32"/>
                <w:lang w:eastAsia="en-US"/>
              </w:rPr>
            </w:r>
          </w:p>
        </w:tc>
        <w:tc>
          <w:tcPr>
            <w:tcW w:w="794" w:type="dxa"/>
            <w:tcBorders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b/>
                <w:b/>
                <w:sz w:val="32"/>
                <w:szCs w:val="32"/>
                <w:lang w:eastAsia="en-US"/>
              </w:rPr>
            </w:pPr>
            <w:r>
              <w:rPr>
                <w:rFonts w:eastAsia="" w:eastAsiaTheme="minorEastAsia"/>
                <w:b/>
                <w:sz w:val="32"/>
                <w:szCs w:val="32"/>
                <w:lang w:eastAsia="en-US"/>
              </w:rPr>
            </w:r>
          </w:p>
        </w:tc>
        <w:tc>
          <w:tcPr>
            <w:tcW w:w="6421" w:type="dxa"/>
            <w:gridSpan w:val="3"/>
            <w:tcBorders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  <w:tc>
          <w:tcPr>
            <w:tcW w:w="157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rFonts w:eastAsia="" w:eastAsiaTheme="minorEastAsia"/>
          <w:b/>
          <w:b/>
          <w:sz w:val="32"/>
          <w:szCs w:val="32"/>
          <w:lang w:eastAsia="ar-SA"/>
        </w:rPr>
      </w:pPr>
      <w:r>
        <w:rPr>
          <w:rFonts w:eastAsia="" w:eastAsiaTheme="minorEastAsia"/>
          <w:b/>
          <w:sz w:val="32"/>
          <w:szCs w:val="32"/>
          <w:lang w:eastAsia="ar-SA"/>
        </w:rPr>
      </w:r>
    </w:p>
    <w:tbl>
      <w:tblPr>
        <w:tblW w:w="4995" w:type="dxa"/>
        <w:jc w:val="center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val="04a0"/>
      </w:tblPr>
      <w:tblGrid>
        <w:gridCol w:w="4995"/>
      </w:tblGrid>
      <w:tr>
        <w:trPr>
          <w:trHeight w:val="71" w:hRule="atLeast"/>
        </w:trPr>
        <w:tc>
          <w:tcPr>
            <w:tcW w:w="4995" w:type="dxa"/>
            <w:tcBorders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от 05.12.2023  № 921-п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п. Савино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" w:eastAsiaTheme="minorEastAsia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" w:eastAsiaTheme="minorEastAsia"/>
                <w:b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widowControl w:val="false"/>
        <w:jc w:val="center"/>
        <w:rPr/>
      </w:pPr>
      <w:r>
        <w:rPr>
          <w:b/>
          <w:sz w:val="28"/>
          <w:szCs w:val="28"/>
        </w:rPr>
        <w:t>Об утверждении Положения о порядке оказания платных услуг Муниципальным казённым учреждением</w:t>
      </w:r>
    </w:p>
    <w:p>
      <w:pPr>
        <w:pStyle w:val="Normal"/>
        <w:widowControl w:val="false"/>
        <w:jc w:val="center"/>
        <w:rPr/>
      </w:pPr>
      <w:r>
        <w:rPr>
          <w:b/>
          <w:sz w:val="28"/>
          <w:szCs w:val="28"/>
        </w:rPr>
        <w:t>«Центр культуры, отдыха и народного творчества»</w:t>
      </w:r>
    </w:p>
    <w:p>
      <w:pPr>
        <w:pStyle w:val="Normal"/>
        <w:widowControl w:val="false"/>
        <w:jc w:val="center"/>
        <w:rPr/>
      </w:pPr>
      <w:r>
        <w:rPr/>
        <w:t>(в редакции постановлений администрации Савинского муниципального района от 10.06.2024 № 374 -п, от 10.03.2025 № 165-п, от 14.11.2025 № 800-п)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и Федеральным законом от 09.10.1992 № 3612-1 «Основы законодательства РФ о культуре», в целях расширения доступности и модернизации культурного обслуживания населения, наиболее полного удовлетворения культурных потребностей населения, повышения качества оказываемых  услуг,  администрация Савинского  муниципального  района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>
      <w:pPr>
        <w:pStyle w:val="Normal"/>
        <w:widowControl w:val="false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1. Утвердить Положение о порядке оказания платных услуг Муниципальным казённым учреждением «Центр культуры, отдыха и народного творчества» (Приложение).</w:t>
      </w:r>
    </w:p>
    <w:p>
      <w:pPr>
        <w:pStyle w:val="ListParagraph"/>
        <w:widowControl w:val="false"/>
        <w:suppressAutoHyphens w:val="false"/>
        <w:ind w:lef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2. Разместить настоящее постановление на официальном сайте Савинского муниципального района в информационно - телекоммуникационной сети «Интернет».</w:t>
      </w:r>
    </w:p>
    <w:p>
      <w:pPr>
        <w:pStyle w:val="ListParagraph"/>
        <w:widowControl w:val="false"/>
        <w:suppressAutoHyphens w:val="false"/>
        <w:ind w:lef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>3. Настоящее постановление вступает в силу со дня его принятия.</w:t>
      </w:r>
    </w:p>
    <w:p>
      <w:pPr>
        <w:pStyle w:val="ListParagraph"/>
        <w:widowControl w:val="false"/>
        <w:suppressAutoHyphens w:val="false"/>
        <w:ind w:lef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по социальным вопросам С.Н. Желобанову.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Глава Савинского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            С.В. Поварков                                                                               </w:t>
      </w:r>
    </w:p>
    <w:p>
      <w:pPr>
        <w:pStyle w:val="Tekstvpr"/>
        <w:shd w:val="clear" w:color="auto" w:fill="FFFFFF"/>
        <w:spacing w:lineRule="atLeast" w:line="240" w:beforeAutospacing="0" w:before="0" w:afterAutospacing="0" w:after="0"/>
        <w:jc w:val="right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</w:r>
    </w:p>
    <w:p>
      <w:pPr>
        <w:pStyle w:val="Tekstvpr"/>
        <w:shd w:val="clear" w:color="auto" w:fill="FFFFFF"/>
        <w:spacing w:lineRule="atLeast" w:line="240" w:beforeAutospacing="0" w:before="0" w:afterAutospacing="0" w:after="0"/>
        <w:jc w:val="right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</w:r>
    </w:p>
    <w:p>
      <w:pPr>
        <w:pStyle w:val="Tekstvpr"/>
        <w:shd w:val="clear" w:color="auto" w:fill="FFFFFF"/>
        <w:spacing w:lineRule="atLeast" w:line="240" w:beforeAutospacing="0" w:before="0" w:afterAutospacing="0" w:after="0"/>
        <w:jc w:val="right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>«Приложение</w:t>
      </w:r>
    </w:p>
    <w:p>
      <w:pPr>
        <w:pStyle w:val="Tekstvpr"/>
        <w:shd w:val="clear" w:color="auto" w:fill="FFFFFF"/>
        <w:spacing w:lineRule="atLeast" w:line="240" w:beforeAutospacing="0" w:before="0" w:afterAutospacing="0" w:after="0"/>
        <w:jc w:val="right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>к Постановлению администрации</w:t>
      </w:r>
    </w:p>
    <w:p>
      <w:pPr>
        <w:pStyle w:val="Tekstvpr"/>
        <w:shd w:val="clear" w:color="auto" w:fill="FFFFFF"/>
        <w:spacing w:lineRule="atLeast" w:line="240" w:beforeAutospacing="0" w:before="0" w:afterAutospacing="0" w:after="0"/>
        <w:jc w:val="right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>Савинского муниципального района</w:t>
      </w:r>
    </w:p>
    <w:p>
      <w:pPr>
        <w:pStyle w:val="Tekstvpr"/>
        <w:shd w:val="clear" w:color="auto" w:fill="FFFFFF"/>
        <w:spacing w:lineRule="atLeast" w:line="240" w:beforeAutospacing="0" w:before="0" w:afterAutospacing="0" w:after="0"/>
        <w:jc w:val="right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>от 05.12.2023 № 921-п</w:t>
      </w:r>
    </w:p>
    <w:p>
      <w:pPr>
        <w:pStyle w:val="Tekstvpr"/>
        <w:shd w:val="clear" w:color="auto" w:fill="FFFFFF"/>
        <w:spacing w:lineRule="atLeast" w:line="240" w:beforeAutospacing="0" w:before="0" w:afterAutospacing="0" w:after="96"/>
        <w:jc w:val="right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ПОЛОЖЕНИЕ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о порядке оказания платных услуг  Муниципальным казённым учреждением </w:t>
      </w:r>
    </w:p>
    <w:p>
      <w:pPr>
        <w:pStyle w:val="Normal"/>
        <w:jc w:val="center"/>
        <w:rPr>
          <w:b/>
          <w:b/>
        </w:rPr>
      </w:pPr>
      <w:r>
        <w:rPr>
          <w:b/>
        </w:rPr>
        <w:t>«Центр культуры, отдыха и народного творчества»</w:t>
      </w:r>
    </w:p>
    <w:p>
      <w:pPr>
        <w:pStyle w:val="Normal"/>
        <w:widowControl w:val="false"/>
        <w:jc w:val="center"/>
        <w:rPr/>
      </w:pPr>
      <w:r>
        <w:rPr/>
        <w:t>(в редакции постановлений администрации Савинского муниципального района от 10.06.2024 № 374-п, от 10.03.2025 № 165-п, от 14.11.2025 № 800-п)</w:t>
      </w:r>
    </w:p>
    <w:p>
      <w:pPr>
        <w:pStyle w:val="Normal"/>
        <w:jc w:val="center"/>
        <w:rPr>
          <w:b/>
          <w:b/>
        </w:rPr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1. Общие положения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1.1. Настоящее Положение о порядке оказания платных услуг муниципальными учреждениями культуры (далее - Положение), разработано в соответствии с действующими нормативными правовыми актами: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Гражданским кодексом Российской Федерации;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Налоговым кодексом Российской Федерации;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Бюджетным кодексом Российской Федерации;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Федеральным законом от 12.01.1996 N 7-ФЗ "О некоммерческих организациях";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Федеральным законом от 06.12.2011 </w:t>
      </w:r>
      <w:r>
        <w:rPr>
          <w:sz w:val="22"/>
          <w:szCs w:val="22"/>
          <w:lang w:val="en-US"/>
        </w:rPr>
        <w:t>N</w:t>
      </w:r>
      <w:r>
        <w:rPr>
          <w:sz w:val="22"/>
          <w:szCs w:val="22"/>
        </w:rPr>
        <w:t>402-ФЗ"О бухгалтерском учете";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Законом РФ от 09.10.1992 N 3612-1 "Основы законодательства Российской Федерации о культуре";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Законом РФ от 07.02.1992 N 2300-1 "О защите прав потребителей";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Постановлением Правительства Российской Федерации от 25.03.1999 N 329 "О государственной поддержке театрального искусства в Российской Федерации";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Межгосударственным стандартом ГОСТ 30335-95/ГОСТ Р 50646-94 "Услуги населению. Термины и определения";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Федеральным законом N 131-ФЗ от 06.10.2003 "Об общих принципах организации местного самоуправления в Российской Федерации";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Уставом Муниципального казённого учреждения «Центр культуры, отдыха и народного творчества» (далее МКУ «ЦКО и НТ»).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1.2 Настоящее Положение распространяется на все подразделения Муниципального  казённого учреждения «Центр культуры, отдыха и народного творчества».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1.3. Платные услуги предоставляются с целью полного удовлетворения потребностей населения в организации досуга, во всестороннем, творческом, многогранном развитии личности, в воспитании подрастающего поколения, а также с целью привлечения дополнительных финансовых средств для обеспечения, развития и улучшения качества услуг, укрепления материально - технической базы учреждений культуры.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1.4. Платные услуги осуществляются на возмездной основе за счёт средств как юридических, так и физических лиц, являющихся потребителями платных услуг.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1.5. Платные услуги являются частью финансово - хозяйственной деятельности учреждения и регулируются Бюджетным кодексом РФ, Гражданским кодексом РФ, Налоговым кодексом РФ, уставом учреждения, настоящим Положением, другими действующими нормативно - правовыми актами.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1.6. Настоящее Положение устанавливает основные правила предоставления платных услуг и требования, предъявляемые к МКУ «ЦКО и НТ» при предоставлении платных услуг населению; порядок расчётов за предоставленные платные услуги; порядок учёта средств, получаемых учреждениями за оказание платных услуг.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1.7. Изменения и дополнения в настоящее Положение утверждаются  постановлением администрации Савинского муниципального района.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1.8. Информацию о внесённых изменениях и дополнениях потребитель услуг получает через средства массовой информации, группы в социальных сетях, официальные сайты или непосредственно от администрации учреждений, оказывающих платные услуги.</w:t>
      </w:r>
    </w:p>
    <w:p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2. Основные правила предоставления платных услуг населению и требования,</w:t>
      </w:r>
    </w:p>
    <w:p>
      <w:pPr>
        <w:pStyle w:val="Normal"/>
        <w:ind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предъявляемые к муниципальным учреждениям культуры</w:t>
      </w:r>
    </w:p>
    <w:p>
      <w:pPr>
        <w:pStyle w:val="Normal"/>
        <w:jc w:val="both"/>
        <w:rPr>
          <w:bCs/>
          <w:sz w:val="22"/>
          <w:szCs w:val="22"/>
        </w:rPr>
      </w:pPr>
      <w:r>
        <w:rPr>
          <w:sz w:val="22"/>
          <w:szCs w:val="22"/>
        </w:rPr>
        <w:t>2.</w:t>
      </w:r>
      <w:r>
        <w:rPr>
          <w:bCs/>
          <w:sz w:val="22"/>
          <w:szCs w:val="22"/>
        </w:rPr>
        <w:t>1. Платные услуги МКУ «ЦКО и НТ» предоставляются при условии, если данный вид деятельности предусмотрен Уставом   МКУ «ЦКО и НТ» (далее - Учреждение).</w:t>
      </w:r>
    </w:p>
    <w:p>
      <w:pPr>
        <w:pStyle w:val="Normal"/>
        <w:jc w:val="both"/>
        <w:rPr/>
      </w:pPr>
      <w:r>
        <w:rPr>
          <w:bCs/>
          <w:sz w:val="22"/>
          <w:szCs w:val="22"/>
        </w:rPr>
        <w:t>2.2. Платная деятельность Учреждения не является коммерческой, так как доход от неё полностью идёт на его развитие и совершенствование данного Учреждения.</w:t>
      </w:r>
    </w:p>
    <w:p>
      <w:pPr>
        <w:pStyle w:val="Normal"/>
        <w:jc w:val="both"/>
        <w:rPr/>
      </w:pPr>
      <w:r>
        <w:rPr>
          <w:bCs/>
          <w:sz w:val="22"/>
          <w:szCs w:val="22"/>
        </w:rPr>
        <w:t>2.3.  Учреждение создаёт</w:t>
      </w:r>
      <w:r>
        <w:rPr>
          <w:sz w:val="22"/>
          <w:szCs w:val="22"/>
        </w:rPr>
        <w:t xml:space="preserve"> условия для предоставления платных услуг (приобретают спортивный инвентарь, музыкальные инструменты и т.д.).</w:t>
      </w:r>
    </w:p>
    <w:p>
      <w:pPr>
        <w:pStyle w:val="Normal"/>
        <w:jc w:val="both"/>
        <w:rPr/>
      </w:pPr>
      <w:r>
        <w:rPr>
          <w:sz w:val="22"/>
          <w:szCs w:val="22"/>
        </w:rPr>
        <w:t>2.4. При предоставлении платных услуг сохраняется установленный режим работы учреждения, расписания занятий, не сокращаются услуги на бесплатной основе и не ухудшается их качество .</w:t>
      </w:r>
    </w:p>
    <w:p>
      <w:pPr>
        <w:pStyle w:val="Normal"/>
        <w:jc w:val="both"/>
        <w:rPr/>
      </w:pPr>
      <w:r>
        <w:rPr>
          <w:sz w:val="22"/>
          <w:szCs w:val="22"/>
        </w:rPr>
        <w:t>2.5. Учреждение обязано предоставить необходимую и достоверную информацию об оказываемых платных услугах в порядке и объёме, предусмотренных Законом РФ «О защите прав потребителей»</w:t>
      </w:r>
    </w:p>
    <w:p>
      <w:pPr>
        <w:pStyle w:val="Normal"/>
        <w:jc w:val="both"/>
        <w:rPr/>
      </w:pPr>
      <w:r>
        <w:rPr>
          <w:sz w:val="22"/>
          <w:szCs w:val="22"/>
        </w:rPr>
        <w:t>2.6. Перечень платных услуг и их стоимость утверждается постановлением администрации Савинского муниципального района.</w:t>
      </w:r>
    </w:p>
    <w:p>
      <w:pPr>
        <w:pStyle w:val="Normal"/>
        <w:jc w:val="both"/>
        <w:rPr/>
      </w:pPr>
      <w:r>
        <w:rPr>
          <w:sz w:val="22"/>
          <w:szCs w:val="22"/>
        </w:rPr>
        <w:t>2.7. Тарифы по видам платных услуг с экономическим обоснованием и расчётной документацией Учреждения предоставляются для утверждения Главе Савинского муниципального района.</w:t>
      </w:r>
    </w:p>
    <w:p>
      <w:pPr>
        <w:pStyle w:val="Normal"/>
        <w:jc w:val="both"/>
        <w:rPr/>
      </w:pPr>
      <w:r>
        <w:rPr>
          <w:bCs/>
          <w:sz w:val="22"/>
          <w:szCs w:val="22"/>
        </w:rPr>
        <w:t>2.8. Основаниями для пересмотра  тарифа на платные услуги является:</w:t>
      </w:r>
    </w:p>
    <w:p>
      <w:pPr>
        <w:pStyle w:val="Normal"/>
        <w:jc w:val="both"/>
        <w:rPr/>
      </w:pPr>
      <w:r>
        <w:rPr>
          <w:bCs/>
          <w:sz w:val="22"/>
          <w:szCs w:val="22"/>
        </w:rPr>
        <w:t>- рост (снижение) затрат на оказание услуг, вызванный внешними факторами;</w:t>
      </w:r>
    </w:p>
    <w:p>
      <w:pPr>
        <w:pStyle w:val="Normal"/>
        <w:jc w:val="both"/>
        <w:rPr/>
      </w:pPr>
      <w:r>
        <w:rPr>
          <w:bCs/>
          <w:sz w:val="22"/>
          <w:szCs w:val="22"/>
        </w:rPr>
        <w:t>- изменения уровня цен на материальные ресурсы на величины более чем на 5%;</w:t>
      </w:r>
    </w:p>
    <w:p>
      <w:pPr>
        <w:pStyle w:val="Normal"/>
        <w:jc w:val="both"/>
        <w:rPr/>
      </w:pPr>
      <w:r>
        <w:rPr>
          <w:bCs/>
          <w:sz w:val="22"/>
          <w:szCs w:val="22"/>
        </w:rPr>
        <w:t>- изменение в действующем законодательстве Российской Федерации размера и системы оплаты труда работников, занятых в сфере оказании услуг.</w:t>
      </w:r>
    </w:p>
    <w:p>
      <w:pPr>
        <w:pStyle w:val="Normal"/>
        <w:jc w:val="both"/>
        <w:rPr/>
      </w:pPr>
      <w:r>
        <w:rPr>
          <w:bCs/>
          <w:sz w:val="22"/>
          <w:szCs w:val="22"/>
        </w:rPr>
        <w:t>2.9. Учреждение</w:t>
      </w:r>
      <w:r>
        <w:rPr>
          <w:sz w:val="22"/>
          <w:szCs w:val="22"/>
        </w:rPr>
        <w:t xml:space="preserve"> заключает договор с физическими и юридическими лицами (далее - Потребитель) на оказание платных услуг в соответствии с Перечнем платных услуг согласно Приложению 1 к настоящему Положению.</w:t>
      </w:r>
    </w:p>
    <w:p>
      <w:pPr>
        <w:pStyle w:val="Normal"/>
        <w:jc w:val="both"/>
        <w:rPr/>
      </w:pPr>
      <w:r>
        <w:rPr>
          <w:sz w:val="22"/>
          <w:szCs w:val="22"/>
        </w:rPr>
        <w:t>2.10. Договор заключается в двух экземплярах, один из которых находится у Учреждения, другой у Потребителя.</w:t>
      </w:r>
    </w:p>
    <w:p>
      <w:pPr>
        <w:pStyle w:val="Normal"/>
        <w:jc w:val="both"/>
        <w:rPr/>
      </w:pPr>
      <w:r>
        <w:rPr>
          <w:sz w:val="22"/>
          <w:szCs w:val="22"/>
        </w:rPr>
        <w:t>2.11. Платные услуги оказываются штатными сотрудниками Учреждения, привлечёнными специалистами или организациями. Привлечение сторонних организаций для оказания платных услуг допускается, при наличии у них лицензии на право ведения соответствующих видов деятельности, по договорам гражданско-правового характера.</w:t>
      </w:r>
    </w:p>
    <w:p>
      <w:pPr>
        <w:pStyle w:val="Normal"/>
        <w:tabs>
          <w:tab w:val="clear" w:pos="708"/>
          <w:tab w:val="left" w:pos="900" w:leader="none"/>
        </w:tabs>
        <w:jc w:val="both"/>
        <w:rPr/>
      </w:pPr>
      <w:r>
        <w:rPr>
          <w:sz w:val="22"/>
          <w:szCs w:val="22"/>
        </w:rPr>
        <w:t>2.12. Оказание платных услуг населению организуется на основании приказа руководителя Учреждения, и он координирует деятельность всех структурных подразделений, которые обеспечивают  и оказывают платные услуги, решает вопросы, выходящие за рамки компетенции взятого подразделения.</w:t>
      </w:r>
    </w:p>
    <w:p>
      <w:pPr>
        <w:pStyle w:val="Normal"/>
        <w:jc w:val="both"/>
        <w:rPr/>
      </w:pPr>
      <w:r>
        <w:rPr>
          <w:sz w:val="22"/>
          <w:szCs w:val="22"/>
        </w:rPr>
        <w:t>2.13. Руководитель Учреждения и заведующие структурными подразделениями отвечают за организацию платных услуг, а именно:</w:t>
      </w:r>
    </w:p>
    <w:p>
      <w:pPr>
        <w:pStyle w:val="Normal"/>
        <w:jc w:val="both"/>
        <w:rPr/>
      </w:pPr>
      <w:r>
        <w:rPr>
          <w:sz w:val="22"/>
          <w:szCs w:val="22"/>
        </w:rPr>
        <w:t>- подбирает специалистов;</w:t>
      </w:r>
    </w:p>
    <w:p>
      <w:pPr>
        <w:pStyle w:val="Normal"/>
        <w:jc w:val="both"/>
        <w:rPr/>
      </w:pPr>
      <w:r>
        <w:rPr>
          <w:sz w:val="22"/>
          <w:szCs w:val="22"/>
        </w:rPr>
        <w:t>- определяет время предоставления платных услуг;</w:t>
      </w:r>
    </w:p>
    <w:p>
      <w:pPr>
        <w:pStyle w:val="Normal"/>
        <w:jc w:val="both"/>
        <w:rPr/>
      </w:pPr>
      <w:r>
        <w:rPr>
          <w:sz w:val="22"/>
          <w:szCs w:val="22"/>
        </w:rPr>
        <w:t>- осуществляет контроль качества предоставляемых услуг;</w:t>
      </w:r>
    </w:p>
    <w:p>
      <w:pPr>
        <w:pStyle w:val="Normal"/>
        <w:jc w:val="both"/>
        <w:rPr/>
      </w:pPr>
      <w:r>
        <w:rPr>
          <w:sz w:val="22"/>
          <w:szCs w:val="22"/>
        </w:rPr>
        <w:t>- разрешает конфликтные ситуации с работниками и лицами, оплатившими услугу.</w:t>
      </w:r>
    </w:p>
    <w:p>
      <w:pPr>
        <w:pStyle w:val="Normal"/>
        <w:jc w:val="both"/>
        <w:rPr/>
      </w:pPr>
      <w:r>
        <w:rPr>
          <w:sz w:val="22"/>
          <w:szCs w:val="22"/>
        </w:rPr>
        <w:t>2.14. Специалисты, непосредственно оказывающие платную услугу, несут персональную ответственность за полноту и качество ее выполнения.</w:t>
      </w:r>
    </w:p>
    <w:p>
      <w:pPr>
        <w:pStyle w:val="Normal"/>
        <w:jc w:val="both"/>
        <w:rPr/>
      </w:pPr>
      <w:r>
        <w:rPr>
          <w:sz w:val="22"/>
          <w:szCs w:val="22"/>
        </w:rPr>
        <w:t>2.15. Учреждение, оказывающее  услугу, может отказать Потребителю в оказании услуги при условии:</w:t>
      </w:r>
    </w:p>
    <w:p>
      <w:pPr>
        <w:pStyle w:val="Normal"/>
        <w:jc w:val="both"/>
        <w:rPr/>
      </w:pPr>
      <w:r>
        <w:rPr>
          <w:sz w:val="22"/>
          <w:szCs w:val="22"/>
        </w:rPr>
        <w:t>- отсутствия в наличии билетов, электронных билетов, кассового чека на посещение культурно - досугового мероприятия, выставки, мастер - класса на требуемую дату и время;</w:t>
      </w:r>
    </w:p>
    <w:p>
      <w:pPr>
        <w:pStyle w:val="Normal"/>
        <w:jc w:val="both"/>
        <w:rPr/>
      </w:pPr>
      <w:r>
        <w:rPr>
          <w:sz w:val="22"/>
          <w:szCs w:val="22"/>
        </w:rPr>
        <w:t>- обращение за приобретением билета в дни и час, в которые учреждение закрыто;</w:t>
      </w:r>
    </w:p>
    <w:p>
      <w:pPr>
        <w:pStyle w:val="Normal"/>
        <w:jc w:val="both"/>
        <w:rPr/>
      </w:pPr>
      <w:r>
        <w:rPr>
          <w:sz w:val="22"/>
          <w:szCs w:val="22"/>
        </w:rPr>
        <w:t>- обращение за приобретением билета в состоянии, препятствующем получению качественной услуги другими посетителями (алкогольного, наркотического или токсического опьянения, от его одежды не должен исходить резкий неприятный запах; его одежда не должна иметь следы грязи, которые могут привести к порче (загрязнению) имущества и одежды других посетителей).</w:t>
      </w:r>
    </w:p>
    <w:p>
      <w:pPr>
        <w:pStyle w:val="Normal"/>
        <w:ind w:firstLine="440"/>
        <w:jc w:val="both"/>
        <w:rPr/>
      </w:pPr>
      <w:r>
        <w:rPr>
          <w:sz w:val="22"/>
          <w:szCs w:val="22"/>
        </w:rPr>
        <w:t xml:space="preserve">Отказ в продаже билета, оказывающего услугу Учреждения, по иным основаниям не допускается. </w:t>
      </w:r>
    </w:p>
    <w:p>
      <w:pPr>
        <w:pStyle w:val="Normal"/>
        <w:ind w:firstLine="2201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3. Организация предоставления платных услуг</w:t>
      </w:r>
    </w:p>
    <w:p>
      <w:pPr>
        <w:pStyle w:val="Normal"/>
        <w:ind w:right="-2" w:hanging="0"/>
        <w:jc w:val="both"/>
        <w:rPr>
          <w:sz w:val="22"/>
          <w:szCs w:val="22"/>
        </w:rPr>
      </w:pPr>
      <w:r>
        <w:rPr>
          <w:sz w:val="22"/>
          <w:szCs w:val="22"/>
        </w:rPr>
        <w:t>3.1. Платные услуги, предоставляемые Учреждением, могут быть долгосрочными и разовыми.</w:t>
      </w:r>
    </w:p>
    <w:p>
      <w:pPr>
        <w:pStyle w:val="Normal"/>
        <w:ind w:right="-2" w:hanging="0"/>
        <w:jc w:val="both"/>
        <w:rPr>
          <w:sz w:val="22"/>
          <w:szCs w:val="22"/>
        </w:rPr>
      </w:pPr>
      <w:r>
        <w:rPr>
          <w:sz w:val="22"/>
          <w:szCs w:val="22"/>
        </w:rPr>
        <w:t>3.2. На долгосрочные платные услуги Учреждением оформляется договор, в котором указывается срок действия, обязательства сторон, стоимость услуг  и порядок расчёта.</w:t>
      </w:r>
    </w:p>
    <w:p>
      <w:pPr>
        <w:pStyle w:val="Normal"/>
        <w:ind w:right="-2" w:hanging="0"/>
        <w:jc w:val="both"/>
        <w:rPr>
          <w:sz w:val="22"/>
          <w:szCs w:val="22"/>
        </w:rPr>
      </w:pPr>
      <w:r>
        <w:rPr>
          <w:sz w:val="22"/>
          <w:szCs w:val="22"/>
        </w:rPr>
        <w:t>3.3. На разовое выполнение платных услуг принимаются  письменные заявки. При этом определяются сроки выполнения, форма предоставления материала, исполнитель, стоимость выполненной услуги.</w:t>
      </w:r>
    </w:p>
    <w:p>
      <w:pPr>
        <w:pStyle w:val="Normal"/>
        <w:ind w:right="-2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При выполнении платных услуг и проведении взаиморасчётов с заказчиками,  исполнителям необходимо учитывать следующее: </w:t>
      </w:r>
    </w:p>
    <w:p>
      <w:pPr>
        <w:pStyle w:val="Normal"/>
        <w:ind w:right="-2" w:hanging="0"/>
        <w:jc w:val="both"/>
        <w:rPr>
          <w:sz w:val="22"/>
          <w:szCs w:val="22"/>
        </w:rPr>
      </w:pPr>
      <w:r>
        <w:rPr>
          <w:sz w:val="22"/>
          <w:szCs w:val="22"/>
        </w:rPr>
        <w:t>-   при оказании платной услуги по заявкам с выездом на место, заказчиком оплачивается стоимость проезда.</w:t>
      </w:r>
    </w:p>
    <w:p>
      <w:pPr>
        <w:pStyle w:val="Normal"/>
        <w:ind w:firstLine="426"/>
        <w:jc w:val="both"/>
        <w:rPr/>
      </w:pPr>
      <w:r>
        <w:rPr>
          <w:bCs/>
          <w:sz w:val="22"/>
          <w:szCs w:val="22"/>
        </w:rPr>
        <w:t>Поступившие наличные денежные средства ежемесячно поступают на лицевой счёт открытый Учреждению в органах Федерального казначейства.</w:t>
      </w:r>
    </w:p>
    <w:p>
      <w:pPr>
        <w:pStyle w:val="Normal"/>
        <w:jc w:val="both"/>
        <w:rPr/>
      </w:pPr>
      <w:r>
        <w:rPr>
          <w:bCs/>
          <w:sz w:val="22"/>
          <w:szCs w:val="22"/>
        </w:rPr>
        <w:t>3.5.</w:t>
      </w:r>
      <w:r>
        <w:rPr>
          <w:sz w:val="22"/>
          <w:szCs w:val="22"/>
        </w:rPr>
        <w:t xml:space="preserve"> Оплата по безналичному расчёту осуществляется путём перечисления денежных средств на лицевой счёт </w:t>
      </w:r>
      <w:r>
        <w:rPr>
          <w:bCs/>
          <w:sz w:val="22"/>
          <w:szCs w:val="22"/>
        </w:rPr>
        <w:t>открытый Учреждению в органах Федерального казначейства</w:t>
      </w:r>
      <w:r>
        <w:rPr>
          <w:sz w:val="22"/>
          <w:szCs w:val="22"/>
        </w:rPr>
        <w:t>. Учреждение обязано получить от Потребителя квитанцию либо копию платёжного поручения  о перечислении денежных средств с отметкой об оплате. Все наличные средства, внесённые  в кассу, аккумулируются на лицевом счёте и являются не налоговыми доходами соответствующего бюджета.</w:t>
      </w:r>
    </w:p>
    <w:p>
      <w:pPr>
        <w:pStyle w:val="ProList21"/>
        <w:spacing w:lineRule="auto" w:line="240" w:before="0" w:after="0"/>
        <w:ind w:left="0" w:hanging="0"/>
        <w:contextualSpacing/>
        <w:rPr/>
      </w:pPr>
      <w:r>
        <w:rPr>
          <w:rFonts w:ascii="Times New Roman" w:hAnsi="Times New Roman"/>
          <w:sz w:val="22"/>
          <w:szCs w:val="22"/>
        </w:rPr>
        <w:t>3.6. Предоставление платных услуг индивидуальным предпринимателям, предприятиям, организациям и учреждениям оформляется договором совместного оказания услуг по установленной форме (Приложение 2).</w:t>
      </w:r>
    </w:p>
    <w:p>
      <w:pPr>
        <w:pStyle w:val="Normal"/>
        <w:ind w:left="360" w:hanging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left="360" w:hanging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Направление использования доходов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4.1. Перечень платных услуг разрабатывается Учреждением, утверждается постановлением администрации Савинского муниципального района Ивановской области.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4.2. В пределах сметы доходов и расходов по оказанию платных услуг Учреждения имеют право оплачивать расходы. Приоритетными направлениями расходования средств, полученных от платных услуг, являются: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материально - техническое развитие Учреждения, в том числе: приобретение расходных материалов, приобретение мебели, компьютерного, спортивного оборудования, приобретение хозяйственных и канцелярских товаров;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- приобретение методической литературы;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проведение  культурно - массовых, спортивных  мероприятий, выставок, мастер - классов;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транспортные услуги;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командировочные расходы и гастрольные поездки участников художественной самодеятельности;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договоры гражданско - правового характера;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ремонт и модернизацию музыкального инвентаря и оборудования;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оплата за обслуживание множительной и компьютерной техники;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на заработную плату персонала, поощрение работников, участвующих в предоставлении платных услуг, в том числе  административно - управленческого, основного и вспомогательного персонала в форме премий, доплат, надбавок, материальной помощи;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на оплату проезда в общественном транспорте работникам Учреждения и участникам художественной самодеятельности.</w:t>
      </w:r>
    </w:p>
    <w:p>
      <w:pPr>
        <w:pStyle w:val="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1871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5. Предоставление льгот при оказании платных услуг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5.1. При организации платных мероприятий Учреждение обязано предоставлять льготы отдельным категориям граждан в соответствии с действующим законодательством.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>Льготная стоимость платных услуг устанавливается приказом руководителя Учреждения, в котором определяются виды и размеры льгот, а также условия и время их предоставления, в том числе перечень документов, при предъявлении которых предоставляются льготы.</w:t>
      </w:r>
    </w:p>
    <w:p>
      <w:pPr>
        <w:pStyle w:val="Tekstvpr"/>
        <w:shd w:val="clear" w:color="auto" w:fill="FFFFFF"/>
        <w:spacing w:lineRule="atLeast" w:line="240" w:beforeAutospacing="0" w:before="0" w:afterAutospacing="0" w:after="0"/>
        <w:jc w:val="both"/>
        <w:rPr>
          <w:color w:val="000000"/>
          <w:sz w:val="22"/>
          <w:szCs w:val="18"/>
        </w:rPr>
      </w:pPr>
      <w:r>
        <w:rPr/>
        <w:t xml:space="preserve">    </w:t>
      </w:r>
      <w:r>
        <w:rPr/>
        <w:t>При подтверждении льготного</w:t>
      </w:r>
      <w:r>
        <w:rPr>
          <w:rFonts w:eastAsia="SimSun"/>
          <w:color w:val="000000"/>
          <w:kern w:val="2"/>
          <w:shd w:fill="FFFFFF" w:val="clear"/>
          <w:lang w:eastAsia="hi-IN" w:bidi="hi-IN"/>
        </w:rPr>
        <w:t xml:space="preserve"> </w:t>
      </w:r>
      <w:r>
        <w:rPr/>
        <w:t xml:space="preserve">статуса гражданина, приобретающего билеты и посещающего культурные мероприятия, возможно использование сервиса Цифрового </w:t>
      </w:r>
      <w:r>
        <w:rPr>
          <w:lang w:val="en-US"/>
        </w:rPr>
        <w:t>ID</w:t>
      </w:r>
      <w:r>
        <w:rPr/>
        <w:t xml:space="preserve"> в национальном мессенджере - Цифровой платформы </w:t>
      </w:r>
      <w:r>
        <w:rPr>
          <w:lang w:val="en-US"/>
        </w:rPr>
        <w:t>MAX</w:t>
      </w:r>
      <w:r>
        <w:rPr/>
        <w:t xml:space="preserve">.    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SimSun" w:cs="Times New Roman"/>
          <w:color w:val="000000"/>
          <w:kern w:val="2"/>
          <w:sz w:val="24"/>
          <w:szCs w:val="24"/>
          <w:shd w:fill="FFFFFF" w:val="clear"/>
          <w:lang w:eastAsia="hi-IN" w:bidi="hi-IN"/>
        </w:rPr>
      </w:pPr>
      <w:r>
        <w:rPr>
          <w:rFonts w:cs="Times New Roman" w:ascii="Times New Roman" w:hAnsi="Times New Roman"/>
        </w:rPr>
        <w:t>5.2. При организации платных мероприятий Учреждение устанавливает бесплатное посещение следующим категориям потребителей (при предъявлении подтверждающих документов):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ветеранам и инвалидам Великой Отечественной войны, труженикам тыла, ветеранам  и инвалидам локальных войн;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многодетным семьям;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инвалидам;</w:t>
      </w:r>
    </w:p>
    <w:p>
      <w:pPr>
        <w:pStyle w:val="ListParagraph"/>
        <w:spacing w:lineRule="auto" w:line="24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детям до 3-х лет;</w:t>
      </w:r>
    </w:p>
    <w:p>
      <w:pPr>
        <w:pStyle w:val="ListParagraph"/>
        <w:spacing w:lineRule="auto" w:line="24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детям - сиротам и детям, оставшихся без попечения родителей;</w:t>
      </w:r>
    </w:p>
    <w:p>
      <w:pPr>
        <w:pStyle w:val="ListParagraph"/>
        <w:spacing w:lineRule="auto" w:line="24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детям - инвалидам;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 xml:space="preserve">- </w:t>
      </w:r>
      <w:r>
        <w:rPr>
          <w:rFonts w:eastAsia="SimSun" w:cs="Times New Roman" w:ascii="Times New Roman" w:hAnsi="Times New Roman"/>
          <w:color w:val="000000"/>
          <w:kern w:val="2"/>
          <w:sz w:val="24"/>
          <w:szCs w:val="24"/>
          <w:shd w:fill="FFFFFF" w:val="clear"/>
          <w:lang w:eastAsia="hi-IN" w:bidi="hi-IN"/>
        </w:rPr>
        <w:t>участникам специальной военной операции (гражданам Российской Федерации), проживающим на территории</w:t>
      </w:r>
      <w:r>
        <w:rPr>
          <w:rFonts w:eastAsia="SimSun" w:cs="Times New Roman" w:ascii="Times New Roman" w:hAnsi="Times New Roman"/>
          <w:color w:val="000000"/>
          <w:spacing w:val="1"/>
          <w:kern w:val="2"/>
          <w:sz w:val="24"/>
          <w:szCs w:val="24"/>
          <w:shd w:fill="FFFFFF" w:val="clear"/>
          <w:lang w:eastAsia="hi-IN" w:bidi="hi-IN"/>
        </w:rPr>
        <w:t xml:space="preserve"> Савин</w:t>
      </w:r>
      <w:r>
        <w:rPr>
          <w:rFonts w:eastAsia="SimSun" w:cs="Times New Roman" w:ascii="Times New Roman" w:hAnsi="Times New Roman"/>
          <w:color w:val="000000"/>
          <w:kern w:val="2"/>
          <w:sz w:val="24"/>
          <w:szCs w:val="24"/>
          <w:shd w:fill="FFFFFF" w:val="clear"/>
          <w:lang w:eastAsia="hi-IN" w:bidi="hi-IN"/>
        </w:rPr>
        <w:t>ского муниципального района Ивановской области,  из числа 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вооружённой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числе:</w:t>
      </w:r>
    </w:p>
    <w:p>
      <w:pPr>
        <w:pStyle w:val="Normal"/>
        <w:jc w:val="both"/>
        <w:rPr>
          <w:shd w:fill="FFFFFF" w:val="clear"/>
        </w:rPr>
      </w:pPr>
      <w:r>
        <w:rPr>
          <w:shd w:fill="FFFFFF" w:val="clear"/>
        </w:rPr>
        <w:t>- лиц, призванных на военную службу по мобилизации в Вооружённые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>
      <w:pPr>
        <w:pStyle w:val="Normal"/>
        <w:jc w:val="both"/>
        <w:rPr>
          <w:shd w:fill="FFFFFF" w:val="clear"/>
        </w:rPr>
      </w:pPr>
      <w:r>
        <w:rPr>
          <w:shd w:fill="FFFFFF" w:val="clear"/>
        </w:rPr>
        <w:t>- лиц, проходящих (проходивших) военную службу в Вооружённых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>
      <w:pPr>
        <w:pStyle w:val="Normal"/>
        <w:jc w:val="both"/>
        <w:rPr>
          <w:shd w:fill="FFFFFF" w:val="clear"/>
        </w:rPr>
      </w:pPr>
      <w:r>
        <w:rPr>
          <w:shd w:fill="FFFFFF" w:val="clear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заключившие контракт (имевшие иные правоотношения) с организацией, содействующей выполнению  задач, возложенных на Вооружённые Силы Российской Федерации;</w:t>
      </w:r>
    </w:p>
    <w:p>
      <w:pPr>
        <w:pStyle w:val="Normal"/>
        <w:tabs>
          <w:tab w:val="clear" w:pos="708"/>
          <w:tab w:val="left" w:pos="850" w:leader="none"/>
        </w:tabs>
        <w:spacing w:before="0" w:after="0"/>
        <w:ind w:right="113" w:hanging="0"/>
        <w:contextualSpacing/>
        <w:jc w:val="both"/>
        <w:rPr>
          <w:shd w:fill="FFFFFF" w:val="clear"/>
        </w:rPr>
      </w:pPr>
      <w:r>
        <w:rPr>
          <w:shd w:fill="FFFFFF" w:val="clear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>
      <w:pPr>
        <w:pStyle w:val="Normal"/>
        <w:tabs>
          <w:tab w:val="clear" w:pos="708"/>
          <w:tab w:val="left" w:pos="850" w:leader="none"/>
        </w:tabs>
        <w:spacing w:before="0" w:after="0"/>
        <w:ind w:right="113" w:hanging="0"/>
        <w:contextualSpacing/>
        <w:jc w:val="both"/>
        <w:rPr>
          <w:shd w:fill="FFFFFF" w:val="clear"/>
        </w:rPr>
      </w:pPr>
      <w:r>
        <w:rPr>
          <w:shd w:fill="FFFFFF" w:val="clear"/>
        </w:rPr>
        <w:t>- членам семьи участников специальной военной операции.</w:t>
      </w:r>
    </w:p>
    <w:p>
      <w:pPr>
        <w:pStyle w:val="Normal"/>
        <w:tabs>
          <w:tab w:val="clear" w:pos="708"/>
          <w:tab w:val="left" w:pos="570" w:leader="none"/>
        </w:tabs>
        <w:spacing w:before="0" w:after="0"/>
        <w:ind w:right="113" w:hanging="0"/>
        <w:contextualSpacing/>
        <w:jc w:val="both"/>
        <w:rPr>
          <w:shd w:fill="FFFFFF" w:val="clear"/>
        </w:rPr>
      </w:pPr>
      <w:r>
        <w:rPr>
          <w:shd w:fill="FFFFFF" w:val="clear"/>
        </w:rPr>
        <w:t xml:space="preserve">        </w:t>
      </w:r>
      <w:r>
        <w:rPr>
          <w:shd w:fill="FFFFFF" w:val="clear"/>
        </w:rPr>
        <w:t>К членам семьи участников специальной военной операции,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относятся:</w:t>
      </w:r>
    </w:p>
    <w:p>
      <w:pPr>
        <w:pStyle w:val="ConsPlusNormal"/>
        <w:widowControl/>
        <w:tabs>
          <w:tab w:val="clear" w:pos="708"/>
          <w:tab w:val="left" w:pos="0" w:leader="none"/>
        </w:tabs>
        <w:spacing w:before="0" w:after="0"/>
        <w:ind w:hanging="0"/>
        <w:contextualSpacing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  <w:t>- родители (усыновители) участников СВО;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right="113" w:hanging="0"/>
        <w:contextualSpacing/>
        <w:jc w:val="both"/>
        <w:rPr>
          <w:shd w:fill="FFFFFF" w:val="clear"/>
        </w:rPr>
      </w:pPr>
      <w:r>
        <w:rPr>
          <w:shd w:fill="FFFFFF" w:val="clear"/>
        </w:rPr>
        <w:tab/>
        <w:t>- супруга (супруг);</w:t>
      </w:r>
    </w:p>
    <w:p>
      <w:pPr>
        <w:pStyle w:val="Normal"/>
        <w:jc w:val="both"/>
        <w:rPr>
          <w:shd w:fill="FFFFFF" w:val="clear"/>
        </w:rPr>
      </w:pPr>
      <w:r>
        <w:rPr>
          <w:shd w:fill="FFFFFF" w:val="clear"/>
        </w:rPr>
        <w:tab/>
        <w:t>- несовершеннолетние дети;</w:t>
      </w:r>
    </w:p>
    <w:p>
      <w:pPr>
        <w:pStyle w:val="Normal"/>
        <w:jc w:val="both"/>
        <w:rPr>
          <w:shd w:fill="FFFFFF" w:val="clear"/>
        </w:rPr>
      </w:pPr>
      <w:r>
        <w:rPr>
          <w:shd w:fill="FFFFFF" w:val="clear"/>
        </w:rPr>
        <w:tab/>
        <w:t>- дети старше 18 лет, ставшие инвалидами до достижения ими возраста 18 лет;</w:t>
      </w:r>
    </w:p>
    <w:p>
      <w:pPr>
        <w:pStyle w:val="Normal"/>
        <w:jc w:val="both"/>
        <w:rPr>
          <w:shd w:fill="FFFFFF" w:val="clear"/>
        </w:rPr>
      </w:pPr>
      <w:r>
        <w:rPr>
          <w:shd w:fill="FFFFFF" w:val="clear"/>
        </w:rPr>
        <w:tab/>
        <w:t>-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обучения;</w:t>
      </w:r>
    </w:p>
    <w:p>
      <w:pPr>
        <w:pStyle w:val="Normal"/>
        <w:jc w:val="both"/>
        <w:rPr>
          <w:shd w:fill="FFFFFF" w:val="clear"/>
        </w:rPr>
      </w:pPr>
      <w:r>
        <w:rPr>
          <w:shd w:fill="FFFFFF" w:val="clear"/>
        </w:rPr>
        <w:tab/>
        <w:t>- дети, находящиеся под опекой (попечительством), дети, переданные на воспитание в приёмную семью;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 w:eastAsia="SimSun" w:cs="Times New Roman"/>
          <w:color w:val="000000"/>
          <w:kern w:val="2"/>
          <w:sz w:val="24"/>
          <w:szCs w:val="24"/>
          <w:shd w:fill="FFFFFF" w:val="clear"/>
          <w:lang w:eastAsia="hi-IN" w:bidi="hi-IN"/>
        </w:rPr>
      </w:pPr>
      <w:r>
        <w:rPr>
          <w:rFonts w:eastAsia="SimSun" w:cs="Times New Roman" w:ascii="Times New Roman" w:hAnsi="Times New Roman"/>
          <w:color w:val="000000"/>
          <w:kern w:val="2"/>
          <w:sz w:val="24"/>
          <w:szCs w:val="24"/>
          <w:shd w:fill="FFFFFF" w:val="clear"/>
          <w:lang w:eastAsia="hi-IN" w:bidi="hi-IN"/>
        </w:rPr>
        <w:t>- пасынки, падчерицы;</w:t>
      </w:r>
    </w:p>
    <w:p>
      <w:pPr>
        <w:pStyle w:val="Normal"/>
        <w:ind w:firstLine="851"/>
        <w:jc w:val="center"/>
        <w:rPr>
          <w:b/>
          <w:b/>
          <w:sz w:val="22"/>
          <w:szCs w:val="22"/>
        </w:rPr>
      </w:pPr>
      <w:r>
        <w:rPr/>
      </w:r>
    </w:p>
    <w:p>
      <w:pPr>
        <w:pStyle w:val="Normal"/>
        <w:ind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6. Порядок формирования тарифа за предоставленные платные услуги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6.1. Источниками финансовых средств Учреждения при оказании платной услуги являются: личные средства граждан, средства предприятий, организаций, учреждений, другие не запрещённые законом источники.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6.2. Для расчёта  тарифов на платные услуги определяется себестоимость, исходя из фактических затрат и определяется стоимость за 1 час работы.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6.3. Себестоимость формируется на основании анализа прямых затрат текущего года, куда включаются заработная плата с учетом всех надбавок и отчислений за год с начислениями на заработную плату, накладные расходы и фактические затраты, сформированные по статьям, классификация которых определена бюджетной классификацией Российской Федерации.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6.4. По каждому виду оказываемых платных услуг составляется калькуляция, в которой себестоимость услуги подразделяется на следующие элементы: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затраты на оплату труда;</w:t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/>
      </w:pPr>
      <w:r>
        <w:rPr>
          <w:b/>
          <w:bCs/>
          <w:sz w:val="22"/>
          <w:szCs w:val="22"/>
        </w:rPr>
        <w:t xml:space="preserve">Рсрз = (Зп + Нзп)*12 : Нч, </w:t>
      </w:r>
      <w:r>
        <w:rPr>
          <w:sz w:val="22"/>
          <w:szCs w:val="22"/>
        </w:rPr>
        <w:t>где:</w:t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Рсрз</w:t>
      </w:r>
      <w:r>
        <w:rPr>
          <w:sz w:val="22"/>
          <w:szCs w:val="22"/>
        </w:rPr>
        <w:t xml:space="preserve"> - средняя заработная плата специалиста  за 1 час,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Зп</w:t>
      </w:r>
      <w:r>
        <w:rPr>
          <w:sz w:val="22"/>
          <w:szCs w:val="22"/>
        </w:rPr>
        <w:t xml:space="preserve"> - средняя заработная плата специалиста в месяц на ставку за 2022г. (ЗП-культура),</w:t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Нзп </w:t>
      </w:r>
      <w:r>
        <w:rPr>
          <w:sz w:val="22"/>
          <w:szCs w:val="22"/>
        </w:rPr>
        <w:t>- начисления на заработанную плату,</w:t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Нч</w:t>
      </w:r>
      <w:r>
        <w:rPr>
          <w:sz w:val="22"/>
          <w:szCs w:val="22"/>
        </w:rPr>
        <w:t xml:space="preserve"> - норма часов в год на одну ставку специалиста,</w:t>
      </w:r>
    </w:p>
    <w:p>
      <w:pPr>
        <w:pStyle w:val="Normal"/>
        <w:widowControl w:val="false"/>
        <w:tabs>
          <w:tab w:val="clear" w:pos="708"/>
          <w:tab w:val="left" w:pos="913" w:leader="none"/>
        </w:tabs>
        <w:suppressAutoHyphens w:val="false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>
        <w:rPr>
          <w:sz w:val="22"/>
          <w:szCs w:val="22"/>
        </w:rPr>
        <w:t xml:space="preserve">  - месяцев в году.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приобретение материальных запасов, необходимых для оказания платной услуги;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амортизация основных средств, необходимых для оказания платной услуги;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- наполняемость.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6.5. Оплата за оказываемые платные услуги должна производиться: потребителем - юридическим лицом - безналичным перечислением на лицевые счета, открытые в органах Федерального казначейства; потребителем - физическим лицом - путём наличных расчётов с использованием бланков строгой отчётности (билетов, квитанций установленного образца и т. д.) и безналичным перечислением на лицевые счета, открытые в органах Федерального казначейства, в т.ч. по программе «Пушкинская карта». </w:t>
      </w:r>
    </w:p>
    <w:p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7. Доведение информации об оказываемых платных услугах и их цене до потребителя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7.1. Муниципальное казенное учреждение «Центр культуры, отдыха и народного творчества» обязано предоставлять необходимую и достоверную информацию об оказываемых платных услугах и цене на них, обеспечивающую возможность их правильного выбора. Указанная информация доводится до потребителя путем размещения в средствах массовой информации и в Учреждении  на доске информации.</w:t>
      </w:r>
    </w:p>
    <w:p>
      <w:pPr>
        <w:pStyle w:val="Normal"/>
        <w:ind w:hanging="0"/>
        <w:jc w:val="center"/>
        <w:rPr>
          <w:b/>
          <w:b/>
          <w:sz w:val="22"/>
          <w:szCs w:val="22"/>
        </w:rPr>
      </w:pPr>
      <w:r>
        <w:rPr/>
      </w:r>
    </w:p>
    <w:p>
      <w:pPr>
        <w:pStyle w:val="Normal"/>
        <w:ind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8. Учёт средств от оказания платных услуг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8.1. Учреждение организует раздельный бухгалтерский и статистический учёт бюджетных средств и средств, полученных от оказания платных услуг.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8.2. Денежные средства, получаемые Учреждением от оказания платных услуг, аккумулируются на лицевом счёте, открытом в органах Федерального казначейства.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8.3. Учреждение в установленные сроки представляет в администрацию Савинского муниципального района Ивановской области сметы доходов и расходов в части платных услуг на предстоящий финансовый год с расчётной документацией к ним.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8.4. В расшифровке к доходной части сметы указываются планируемые доходы от оказания платных услуг на предстоящий финансовый год и плановый период.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8.5. Уточнение плановых назначений по экономическим статьям расходов в связи с превышением плана доходов в течение финансового года представляется до 10 числа месяца, следующего после окончания квартала, в администрацию Савинского муниципального района  Ивановской области для систематизации данных.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8.6. Сведения о поступлении и использовании средств, полученных от оказания платных услуг, включаются в ежемесячную, ежеквартальную и годовую отчётность Учреждения в соответствии с действующим законодательством.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Приложение 1 </w:t>
      </w:r>
    </w:p>
    <w:p>
      <w:pPr>
        <w:pStyle w:val="Normal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 Положению о порядке предоставления </w:t>
      </w:r>
    </w:p>
    <w:p>
      <w:pPr>
        <w:pStyle w:val="Normal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платных услуг, оказываемых </w:t>
      </w:r>
    </w:p>
    <w:p>
      <w:pPr>
        <w:pStyle w:val="Normal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МКУ «Центр культуры, отдыха и народного творчества»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ПЕРЕЧЕНЬ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платных услуг, оказываемых Муниципальным казенным учреждением «Центр культуры, отдыха и народного творчества»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7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48"/>
        <w:gridCol w:w="8948"/>
      </w:tblGrid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услуги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культурно - досуговых мероприятий:</w:t>
            </w:r>
          </w:p>
          <w:p>
            <w:pPr>
              <w:pStyle w:val="Normal"/>
              <w:widowControl w:val="false"/>
              <w:ind w:hanging="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концертные программы с участием творческих коллективов, имеющих звание «Народный» и солистов художественной самодеятельности;</w:t>
            </w:r>
          </w:p>
          <w:p>
            <w:pPr>
              <w:pStyle w:val="Normal"/>
              <w:widowControl w:val="false"/>
              <w:ind w:hanging="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театрализованные программы;</w:t>
            </w:r>
          </w:p>
          <w:p>
            <w:pPr>
              <w:pStyle w:val="Normal"/>
              <w:widowControl w:val="false"/>
              <w:ind w:hanging="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игровые программы;</w:t>
            </w:r>
          </w:p>
          <w:p>
            <w:pPr>
              <w:pStyle w:val="Normal"/>
              <w:widowControl w:val="false"/>
              <w:ind w:hanging="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дискотеки и вечера отдыха;</w:t>
            </w:r>
          </w:p>
          <w:p>
            <w:pPr>
              <w:pStyle w:val="Normal"/>
              <w:widowControl w:val="false"/>
              <w:ind w:hanging="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спектакли (кукольные и драматические);</w:t>
            </w:r>
          </w:p>
          <w:p>
            <w:pPr>
              <w:pStyle w:val="Normal"/>
              <w:widowControl w:val="false"/>
              <w:ind w:hanging="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детские программы (спортивные, игровые, конкурсные и т.п.).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Костюмированный выезд на дом, в организацию, учреждение, проведение мероприятий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работ (услуг) по договорам (в том числе по договору социально - творческого заказа) с юридическими и физическими лицами консультативной, методической и организационно - творческой помощи в подготовке и проведении культурно - досуговых мероприятий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звукозаписи и видеозаписи, видеосъёмка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афиш, буклетов, плакатов, листовок и прочее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Прокат сценических  костюмов,  музыкальных инструментов, посуды, мебели, реквизита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совместных  организованных концертов, программ и иных зрелищных мероприятий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ярмарок - продаж, выставок - продаж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платных кружков и студий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спортивно - оздоровительных секций, групп здоровья и туризма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экскурсий</w:t>
            </w:r>
          </w:p>
        </w:tc>
      </w:tr>
      <w:tr>
        <w:trPr/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</w:t>
            </w:r>
          </w:p>
        </w:tc>
        <w:tc>
          <w:tcPr>
            <w:tcW w:w="8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музея (тематических выставок, залов)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музейных экспонатов для копирования и съёмки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Ксерокопирование и ламинирование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Компьютерная вёрстка и набор текста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Рекламная  деятельность с использованием уличной бегущей строки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мастер - классов, художественных мастерских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гастролей, фестивалей</w:t>
            </w:r>
          </w:p>
        </w:tc>
      </w:tr>
    </w:tbl>
    <w:p>
      <w:pPr>
        <w:pStyle w:val="Normal"/>
        <w:jc w:val="right"/>
        <w:rPr/>
      </w:pPr>
      <w:r>
        <w:rPr/>
        <w:t>».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701" w:right="850" w:gutter="0" w:header="0" w:top="1134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Georg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ind w:right="360" w:hanging="0"/>
      <w:rPr/>
    </w:pPr>
    <w:r>
      <w:rPr/>
      <w:pict>
        <v:shape id="shape_0" ID="shape_0" coordsize="4905,4907" path="m4904,4906l0,4906l0,0l4904,0l4904,4906e" fillcolor="white" stroked="f" o:allowincell="f" style="position:absolute;margin-left:1306.5pt;margin-top:-140.25pt;width:138.95pt;height:139.05pt;mso-wrap-style:none;v-text-anchor:middle;mso-position-horizontal:right;mso-position-horizontal-relative:margin">
          <v:fill o:detectmouseclick="t" type="solid" color2="black" opacity="0"/>
          <v:stroke color="#3465a4" joinstyle="round" endcap="flat"/>
          <w10:wrap type="none"/>
        </v:shape>
      </w:pict>
      <w:pict>
        <v:shape id="shape_0" coordsize="4905,4907" path="m4904,4906l0,4906l0,0l4904,0l4904,4906e" fillcolor="white" stroked="f" o:allowincell="f" style="position:absolute;margin-left:1306.5pt;margin-top:-140.25pt;width:138.95pt;height:139.05pt;mso-wrap-style:none;v-text-anchor:middle;mso-position-horizontal:right;mso-position-horizontal-relative:margin">
          <v:fill o:detectmouseclick="t" type="solid" color2="black" opacity="0"/>
          <v:stroke color="#3465a4" joinstyle="round" endcap="flat"/>
          <w10:wrap type="none"/>
        </v:shape>
      </w:pic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ind w:right="360" w:hanging="0"/>
      <w:rPr/>
    </w:pPr>
    <w:r>
      <w:rPr/>
      <w:pict>
        <v:shape id="shape_0" coordsize="11742,4277" path="m11741,0l11741,4276l0,4276l0,0e" stroked="f" o:allowincell="f" style="position:absolute;margin-left:125.9pt;margin-top:-1857.45pt;width:332.75pt;height:121.2pt;mso-position-horizontal:right;mso-position-horizontal-relative:margin">
          <v:stroke color="#3465a4" joinstyle="round" endcap="flat"/>
          <v:fill o:detectmouseclick="t" on="false"/>
          <w10:wrap type="none"/>
        </v:shape>
      </w:pic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ind w:right="360" w:hanging="0"/>
      <w:rPr/>
    </w:pPr>
    <w:r>
      <w:rPr/>
      <w:pict>
        <v:shape id="shape_0" coordsize="11742,4277" path="m11741,0l11741,4276l0,4276l0,0e" stroked="f" o:allowincell="f" style="position:absolute;margin-left:125.9pt;margin-top:-1857.45pt;width:332.75pt;height:121.2pt;mso-position-horizontal:right;mso-position-horizontal-relative:margin">
          <v:stroke color="#3465a4" joinstyle="round" endcap="flat"/>
          <v:fill o:detectmouseclick="t" on="false"/>
          <w10:wrap type="none"/>
        </v:shape>
      </w:pict>
    </w:r>
  </w:p>
</w:ftr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semiHidden="0" w:unhideWhenUsed="0" w:qFormat="1"/>
    <w:lsdException w:name="caption" w:uiPriority="35" w:qFormat="1"/>
    <w:lsdException w:name="page number" w:uiPriority="0" w:semiHidden="0" w:unhideWhenUsed="0" w:qFormat="1"/>
    <w:lsdException w:name="Title" w:uiPriority="1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Normal (Web)" w:qFormat="1"/>
    <w:lsdException w:name="Normal Table" w:qFormat="1"/>
    <w:lsdException w:name="Balloon Text" w:qFormat="1"/>
    <w:lsdException w:name="Table Grid" w:uiPriority="59" w:semiHidden="0" w:unhideWhenUsed="0"/>
    <w:lsdException w:name="List Paragraph" w:uiPriority="34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036a"/>
    <w:pPr>
      <w:widowControl/>
      <w:suppressAutoHyphens w:val="true"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4"/>
      <w:lang w:eastAsia="ru-RU" w:bidi="ar-SA" w:val="ru-RU"/>
    </w:rPr>
  </w:style>
  <w:style w:type="paragraph" w:styleId="3" w:customStyle="1">
    <w:name w:val="Heading 3"/>
    <w:basedOn w:val="Style18"/>
    <w:next w:val="Style19"/>
    <w:qFormat/>
    <w:rsid w:val="0097430c"/>
    <w:pPr>
      <w:tabs>
        <w:tab w:val="clear" w:pos="708"/>
        <w:tab w:val="left" w:pos="0" w:leader="none"/>
      </w:tabs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Выделение"/>
    <w:basedOn w:val="DefaultParagraphFont"/>
    <w:qFormat/>
    <w:rsid w:val="0055036a"/>
    <w:rPr>
      <w:i/>
      <w:iCs/>
    </w:rPr>
  </w:style>
  <w:style w:type="character" w:styleId="Pagenumber">
    <w:name w:val="page number"/>
    <w:basedOn w:val="DefaultParagraphFont"/>
    <w:qFormat/>
    <w:rsid w:val="0055036a"/>
    <w:rPr>
      <w:rFonts w:cs="Times New Roman"/>
    </w:rPr>
  </w:style>
  <w:style w:type="character" w:styleId="Strong">
    <w:name w:val="Strong"/>
    <w:basedOn w:val="DefaultParagraphFont"/>
    <w:uiPriority w:val="22"/>
    <w:qFormat/>
    <w:rsid w:val="0055036a"/>
    <w:rPr>
      <w:b/>
      <w:bCs/>
    </w:rPr>
  </w:style>
  <w:style w:type="character" w:styleId="Style14" w:customStyle="1">
    <w:name w:val="Нижний колонтитул Знак"/>
    <w:basedOn w:val="DefaultParagraphFont"/>
    <w:qFormat/>
    <w:rsid w:val="0055036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ppleconvertedspace" w:customStyle="1">
    <w:name w:val="apple-converted-space"/>
    <w:basedOn w:val="DefaultParagraphFont"/>
    <w:qFormat/>
    <w:rsid w:val="0055036a"/>
    <w:rPr/>
  </w:style>
  <w:style w:type="character" w:styleId="Style15" w:customStyle="1">
    <w:name w:val="Основной текст Знак"/>
    <w:basedOn w:val="DefaultParagraphFont"/>
    <w:qFormat/>
    <w:rsid w:val="0055036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TextNPA" w:customStyle="1">
    <w:name w:val="Text NPA"/>
    <w:uiPriority w:val="99"/>
    <w:qFormat/>
    <w:rsid w:val="0055036a"/>
    <w:rPr>
      <w:rFonts w:ascii="Courier New" w:hAnsi="Courier New"/>
    </w:rPr>
  </w:style>
  <w:style w:type="character" w:styleId="ProList2" w:customStyle="1">
    <w:name w:val="Pro-List #2 Знак"/>
    <w:basedOn w:val="DefaultParagraphFont"/>
    <w:link w:val="ProList21"/>
    <w:uiPriority w:val="99"/>
    <w:qFormat/>
    <w:rsid w:val="0055036a"/>
    <w:rPr>
      <w:rFonts w:ascii="Georgia" w:hAnsi="Georgia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55036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55036a"/>
    <w:rPr>
      <w:rFonts w:ascii="Tahoma" w:hAnsi="Tahoma" w:eastAsia="Times New Roman" w:cs="Tahoma"/>
      <w:sz w:val="16"/>
      <w:szCs w:val="16"/>
      <w:lang w:eastAsia="ru-RU"/>
    </w:rPr>
  </w:style>
  <w:style w:type="paragraph" w:styleId="Style18" w:customStyle="1">
    <w:name w:val="Заголовок"/>
    <w:basedOn w:val="Normal"/>
    <w:next w:val="Style19"/>
    <w:qFormat/>
    <w:rsid w:val="0055036a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Style15"/>
    <w:qFormat/>
    <w:rsid w:val="0055036a"/>
    <w:pPr>
      <w:jc w:val="both"/>
    </w:pPr>
    <w:rPr/>
  </w:style>
  <w:style w:type="paragraph" w:styleId="Style20">
    <w:name w:val="List"/>
    <w:basedOn w:val="Style19"/>
    <w:rsid w:val="0055036a"/>
    <w:pPr/>
    <w:rPr>
      <w:rFonts w:cs="Arial"/>
    </w:rPr>
  </w:style>
  <w:style w:type="paragraph" w:styleId="Style21" w:customStyle="1">
    <w:name w:val="Caption"/>
    <w:basedOn w:val="Normal"/>
    <w:qFormat/>
    <w:rsid w:val="0055036a"/>
    <w:pPr>
      <w:suppressLineNumbers/>
      <w:spacing w:before="120" w:after="120"/>
    </w:pPr>
    <w:rPr>
      <w:rFonts w:cs="Arial"/>
      <w:i/>
      <w:iCs/>
    </w:rPr>
  </w:style>
  <w:style w:type="paragraph" w:styleId="Style22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Indexheading">
    <w:name w:val="index heading"/>
    <w:basedOn w:val="Normal"/>
    <w:qFormat/>
    <w:rsid w:val="0055036a"/>
    <w:pPr>
      <w:suppressLineNumbers/>
    </w:pPr>
    <w:rPr>
      <w:rFonts w:cs="Arial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55036a"/>
    <w:pPr/>
    <w:rPr>
      <w:rFonts w:ascii="Tahoma" w:hAnsi="Tahoma" w:cs="Tahoma"/>
      <w:sz w:val="16"/>
      <w:szCs w:val="16"/>
    </w:rPr>
  </w:style>
  <w:style w:type="paragraph" w:styleId="Style23" w:customStyle="1">
    <w:name w:val="Колонтитул"/>
    <w:basedOn w:val="Normal"/>
    <w:qFormat/>
    <w:rsid w:val="0055036a"/>
    <w:pPr/>
    <w:rPr/>
  </w:style>
  <w:style w:type="paragraph" w:styleId="Style24" w:customStyle="1">
    <w:name w:val="Header"/>
    <w:basedOn w:val="Normal"/>
    <w:link w:val="Style16"/>
    <w:uiPriority w:val="99"/>
    <w:semiHidden/>
    <w:unhideWhenUsed/>
    <w:qFormat/>
    <w:rsid w:val="0055036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Footer"/>
    <w:basedOn w:val="Normal"/>
    <w:link w:val="Style14"/>
    <w:qFormat/>
    <w:rsid w:val="0055036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uiPriority w:val="99"/>
    <w:semiHidden/>
    <w:unhideWhenUsed/>
    <w:qFormat/>
    <w:rsid w:val="0055036a"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bidi="ar-SA" w:eastAsia="zh-CN"/>
    </w:rPr>
  </w:style>
  <w:style w:type="paragraph" w:styleId="Tekstvpr" w:customStyle="1">
    <w:name w:val="tekstvpr"/>
    <w:basedOn w:val="Normal"/>
    <w:qFormat/>
    <w:rsid w:val="0055036a"/>
    <w:pPr>
      <w:spacing w:beforeAutospacing="1" w:afterAutospacing="1"/>
    </w:pPr>
    <w:rPr/>
  </w:style>
  <w:style w:type="paragraph" w:styleId="ProList21" w:customStyle="1">
    <w:name w:val="Pro-List #2"/>
    <w:basedOn w:val="Normal"/>
    <w:link w:val="ProList2"/>
    <w:uiPriority w:val="99"/>
    <w:qFormat/>
    <w:rsid w:val="0055036a"/>
    <w:pPr>
      <w:tabs>
        <w:tab w:val="clear" w:pos="708"/>
        <w:tab w:val="left" w:pos="2040" w:leader="none"/>
      </w:tabs>
      <w:spacing w:lineRule="auto" w:line="288" w:before="180" w:after="0"/>
      <w:ind w:left="2040" w:hanging="480"/>
      <w:jc w:val="both"/>
    </w:pPr>
    <w:rPr>
      <w:rFonts w:ascii="Georgia" w:hAnsi="Georgia"/>
    </w:rPr>
  </w:style>
  <w:style w:type="paragraph" w:styleId="ListParagraph">
    <w:name w:val="List Paragraph"/>
    <w:basedOn w:val="Normal"/>
    <w:uiPriority w:val="34"/>
    <w:qFormat/>
    <w:rsid w:val="0055036a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  <w:lang w:eastAsia="en-US"/>
    </w:rPr>
  </w:style>
  <w:style w:type="paragraph" w:styleId="Style26" w:customStyle="1">
    <w:name w:val="Содержимое врезки"/>
    <w:basedOn w:val="Normal"/>
    <w:qFormat/>
    <w:rsid w:val="0055036a"/>
    <w:pPr/>
    <w:rPr/>
  </w:style>
  <w:style w:type="paragraph" w:styleId="ConsPlusNormal" w:customStyle="1">
    <w:name w:val="ConsPlusNormal"/>
    <w:qFormat/>
    <w:rsid w:val="0097430c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bidi="ar-SA" w:val="ru-RU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00C85-7FDB-425E-A16F-50AAE477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LibreOffice/7.3.0.3$Windows_X86_64 LibreOffice_project/0f246aa12d0eee4a0f7adcefbf7c878fc2238db3</Application>
  <AppVersion>15.0000</AppVersion>
  <Pages>7</Pages>
  <Words>2533</Words>
  <Characters>17962</Characters>
  <CharactersWithSpaces>20694</CharactersWithSpaces>
  <Paragraphs>196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2025-11-14T10:00:00Z</dcterms:created>
  <dc:creator>Директор</dc:creator>
  <dc:description/>
  <dc:language>ru-RU</dc:language>
  <cp:lastModifiedBy/>
  <cp:lastPrinted>2025-11-14T12:51:00Z</cp:lastPrinted>
  <dcterms:modified xsi:type="dcterms:W3CDTF">2025-11-19T14:04:24Z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207500B3657A43A9BA084BA114133D2F_13</vt:lpwstr>
  </property>
  <property fmtid="{D5CDD505-2E9C-101B-9397-08002B2CF9AE}" pid="3" name="KSOProductBuildVer">
    <vt:lpwstr>1049-12.2.0.13215</vt:lpwstr>
  </property>
</Properties>
</file>