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7.png" ContentType="image/png"/>
  <Override PartName="/word/media/image5.jpeg" ContentType="image/jpe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59" w:before="0" w:after="0"/>
        <w:jc w:val="right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eastAsia="Calibri" w:cs="Times New Roman" w:ascii="Times New Roman" w:hAnsi="Times New Roman"/>
          <w:bCs/>
          <w:sz w:val="24"/>
          <w:szCs w:val="24"/>
        </w:rPr>
        <w:t>Приложение № 2</w:t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eastAsia="Calibri" w:cs="Times New Roman" w:ascii="Times New Roman" w:hAnsi="Times New Roman"/>
          <w:bCs/>
          <w:sz w:val="24"/>
          <w:szCs w:val="24"/>
        </w:rPr>
      </w:r>
    </w:p>
    <w:p>
      <w:pPr>
        <w:pStyle w:val="Normal"/>
        <w:spacing w:lineRule="auto" w:line="259" w:before="0" w:after="0"/>
        <w:jc w:val="center"/>
        <w:rPr>
          <w:rFonts w:ascii="Times New Roman" w:hAnsi="Times New Roman" w:eastAsia="Calibri" w:cs="Times New Roman"/>
          <w:b/>
          <w:b/>
          <w:bCs/>
          <w:sz w:val="28"/>
          <w:szCs w:val="28"/>
        </w:rPr>
      </w:pPr>
      <w:r>
        <w:rPr>
          <w:rFonts w:eastAsia="Calibri" w:cs="Times New Roman" w:ascii="Times New Roman" w:hAnsi="Times New Roman"/>
          <w:b/>
          <w:bCs/>
          <w:sz w:val="28"/>
          <w:szCs w:val="28"/>
        </w:rPr>
        <w:t>Инструкция по регистрации на программы обучения</w:t>
      </w:r>
      <w:bookmarkStart w:id="0" w:name="_Hlk103169022"/>
      <w:bookmarkEnd w:id="0"/>
    </w:p>
    <w:p>
      <w:pPr>
        <w:pStyle w:val="Normal"/>
        <w:spacing w:lineRule="auto" w:line="259" w:before="0" w:after="0"/>
        <w:jc w:val="center"/>
        <w:rPr>
          <w:rFonts w:ascii="Times New Roman" w:hAnsi="Times New Roman" w:eastAsia="Calibri" w:cs="Times New Roman"/>
          <w:b/>
          <w:b/>
          <w:bCs/>
          <w:sz w:val="28"/>
          <w:szCs w:val="28"/>
        </w:rPr>
      </w:pPr>
      <w:r>
        <w:rPr>
          <w:rFonts w:eastAsia="Calibri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Для регистрации на обучение по программам, необходимо зайти на портал «Работа в России» - </w:t>
      </w:r>
      <w:hyperlink r:id="rId2">
        <w:r>
          <w:rPr>
            <w:rStyle w:val="Style14"/>
            <w:rFonts w:cs="Times New Roman" w:ascii="Times New Roman" w:hAnsi="Times New Roman"/>
            <w:sz w:val="28"/>
            <w:szCs w:val="28"/>
          </w:rPr>
          <w:t>https://trudvsem.ru/</w:t>
        </w:r>
      </w:hyperlink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eastAsia="Calibri" w:cs="Times New Roman" w:ascii="Times New Roman" w:hAnsi="Times New Roman"/>
          <w:sz w:val="28"/>
          <w:szCs w:val="28"/>
        </w:rPr>
        <w:t xml:space="preserve">Далее необходимо выбрать информационный блок </w:t>
      </w:r>
      <w:r>
        <w:rPr>
          <w:rFonts w:eastAsia="Calibri" w:cs="Times New Roman" w:ascii="Times New Roman" w:hAnsi="Times New Roman"/>
          <w:color w:val="000000" w:themeColor="text1"/>
          <w:sz w:val="28"/>
          <w:szCs w:val="28"/>
        </w:rPr>
        <w:t>«Пройдите обучение в рамках федерального проекта «Содействие занятости» и</w:t>
      </w:r>
      <w:r>
        <w:rPr>
          <w:rFonts w:eastAsia="Calibri" w:cs="Times New Roman" w:ascii="Times New Roman" w:hAnsi="Times New Roman"/>
          <w:sz w:val="28"/>
          <w:szCs w:val="28"/>
        </w:rPr>
        <w:t xml:space="preserve"> нажать на ссылку </w:t>
      </w:r>
      <w:r>
        <w:rPr>
          <w:rFonts w:eastAsia="Calibri" w:cs="Times New Roman" w:ascii="Times New Roman" w:hAnsi="Times New Roman"/>
          <w:color w:val="548DD4" w:themeColor="text2" w:themeTint="99"/>
          <w:sz w:val="28"/>
          <w:szCs w:val="28"/>
          <w:u w:val="single"/>
        </w:rPr>
        <w:t>«</w:t>
      </w:r>
      <w:hyperlink r:id="rId3" w:tgtFrame="_blank">
        <w:r>
          <w:rPr>
            <w:rStyle w:val="ListLabel2"/>
            <w:rFonts w:eastAsia="Calibri" w:cs="Times New Roman" w:ascii="Times New Roman" w:hAnsi="Times New Roman"/>
            <w:color w:val="548DD4" w:themeColor="text2" w:themeTint="99"/>
            <w:sz w:val="28"/>
            <w:szCs w:val="28"/>
            <w:u w:val="single"/>
          </w:rPr>
          <w:t>Узнать больше</w:t>
        </w:r>
      </w:hyperlink>
      <w:r>
        <w:rPr>
          <w:rFonts w:eastAsia="Calibri" w:cs="Times New Roman" w:ascii="Times New Roman" w:hAnsi="Times New Roman"/>
          <w:color w:val="548DD4" w:themeColor="text2" w:themeTint="99"/>
          <w:sz w:val="28"/>
          <w:szCs w:val="28"/>
          <w:u w:val="single"/>
        </w:rPr>
        <w:t>»</w:t>
      </w:r>
      <w:r>
        <w:rPr>
          <w:rFonts w:eastAsia="Calibri" w:cs="Times New Roman" w:ascii="Times New Roman" w:hAnsi="Times New Roman"/>
          <w:color w:val="548DD4" w:themeColor="text2" w:themeTint="99"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</w:rPr>
        <w:t>(см. рисунок 1).</w:t>
      </w:r>
    </w:p>
    <w:p>
      <w:pPr>
        <w:pStyle w:val="Normal"/>
        <w:spacing w:lineRule="auto" w:line="360" w:before="0" w:after="0"/>
        <w:ind w:firstLine="709"/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рисунок 1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/>
        <w:drawing>
          <wp:inline distT="0" distB="6350" distL="0" distR="0">
            <wp:extent cx="6057900" cy="328930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Далее на появившейся странице в информационном блоке «Программа организации профессионального обучения и дополнительного профессионального образования отдельных категорий граждан рассчитана на период до 2024 года …» перейти по ссылке «Записаться на обучение» (см. рисунок 2).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9525" distL="0" distR="3175">
            <wp:extent cx="5940425" cy="3400425"/>
            <wp:effectExtent l="0" t="0" r="0" b="0"/>
            <wp:docPr id="2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2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Также на этой странице можно узнать подробную информацию о категории обучающихся (см. рисунок 3) </w:t>
      </w:r>
    </w:p>
    <w:p>
      <w:pPr>
        <w:pStyle w:val="Normal"/>
        <w:spacing w:lineRule="auto" w:line="360" w:before="0" w:after="0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3175">
            <wp:extent cx="5940425" cy="3663950"/>
            <wp:effectExtent l="0" t="0" r="0" b="0"/>
            <wp:docPr id="3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3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 xml:space="preserve">Далее на странице указан алгоритм действий для участия в программах обучения (см. рисунок 4).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9525" distL="0" distR="8255">
            <wp:extent cx="6030595" cy="3762375"/>
            <wp:effectExtent l="0" t="0" r="0" b="0"/>
            <wp:docPr id="4" name="Изображение1" descr="cid:image001.png@01D86551.89BCA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cid:image001.png@01D86551.89BCAE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4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 переходе по ссылке «Записаться на обучение» (см. рисунок 2) или «Список образовательных программ» (см. рисунок 4) осуществляется переход </w:t>
      </w:r>
      <w:r>
        <w:rPr>
          <w:rFonts w:cs="Times New Roman" w:ascii="Times New Roman" w:hAnsi="Times New Roman"/>
          <w:color w:val="548DD4" w:themeColor="text2" w:themeTint="99"/>
          <w:sz w:val="28"/>
          <w:szCs w:val="28"/>
        </w:rPr>
        <w:t xml:space="preserve">к </w:t>
      </w:r>
      <w:r>
        <w:rPr>
          <w:rFonts w:cs="Times New Roman" w:ascii="Times New Roman" w:hAnsi="Times New Roman"/>
          <w:b/>
          <w:color w:val="548DD4" w:themeColor="text2" w:themeTint="99"/>
          <w:sz w:val="28"/>
          <w:szCs w:val="28"/>
          <w:u w:val="single"/>
        </w:rPr>
        <w:t>выбору программы обучения</w:t>
      </w:r>
      <w:r>
        <w:rPr>
          <w:rFonts w:cs="Times New Roman" w:ascii="Times New Roman" w:hAnsi="Times New Roman"/>
          <w:b/>
          <w:color w:val="548DD4" w:themeColor="text2" w:themeTint="99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(см. рисунок 5).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324475" cy="3475990"/>
            <wp:effectExtent l="0" t="0" r="0" b="0"/>
            <wp:docPr id="5" name="Рисунок 4" descr="cid:image001.jpg@01D8653A.E07D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id:image001.jpg@01D8653A.E07D348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5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3"/>
        <w:shd w:val="clear" w:color="auto" w:fill="FFFFFF"/>
        <w:spacing w:beforeAutospacing="0" w:before="0" w:afterAutospacing="0" w:after="0"/>
        <w:ind w:firstLine="709"/>
        <w:jc w:val="both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  <w:u w:val="single"/>
        </w:rPr>
        <w:t>Вводим в поисковое поле наименование выбранной программы</w:t>
      </w:r>
      <w:r>
        <w:rPr>
          <w:color w:val="000000" w:themeColor="text1"/>
          <w:sz w:val="28"/>
          <w:szCs w:val="28"/>
        </w:rPr>
        <w:t xml:space="preserve"> </w:t>
      </w:r>
      <w:r>
        <w:rPr>
          <w:b w:val="false"/>
          <w:sz w:val="28"/>
          <w:szCs w:val="28"/>
        </w:rPr>
        <w:t>(см. рисунок 6):</w:t>
      </w:r>
    </w:p>
    <w:p>
      <w:pPr>
        <w:pStyle w:val="3"/>
        <w:shd w:val="clear" w:color="auto" w:fill="FFFFFF"/>
        <w:spacing w:lineRule="auto" w:line="276" w:beforeAutospacing="0" w:before="0" w:afterAutospacing="0" w:after="0"/>
        <w:jc w:val="both"/>
        <w:rPr>
          <w:b w:val="false"/>
          <w:b w:val="false"/>
          <w:i/>
          <w:i/>
          <w:sz w:val="28"/>
          <w:szCs w:val="28"/>
        </w:rPr>
      </w:pPr>
      <w:r>
        <w:rPr>
          <w:b w:val="false"/>
          <w:i/>
          <w:sz w:val="28"/>
          <w:szCs w:val="28"/>
        </w:rPr>
        <w:t>Инструктор общественного здоровья – тьютор оздоровительных технологий (72 часа, программу реализует Институт управления и регионального развития);</w:t>
      </w:r>
    </w:p>
    <w:p>
      <w:pPr>
        <w:pStyle w:val="3"/>
        <w:shd w:val="clear" w:color="auto" w:fill="FFFFFF"/>
        <w:spacing w:lineRule="auto" w:line="276" w:beforeAutospacing="0" w:before="0" w:afterAutospacing="0" w:after="0"/>
        <w:jc w:val="both"/>
        <w:rPr>
          <w:b w:val="false"/>
          <w:b w:val="false"/>
          <w:i/>
          <w:i/>
          <w:sz w:val="28"/>
          <w:szCs w:val="28"/>
        </w:rPr>
      </w:pPr>
      <w:r>
        <w:rPr>
          <w:b w:val="false"/>
          <w:i/>
          <w:sz w:val="28"/>
          <w:szCs w:val="28"/>
        </w:rPr>
        <w:t>Здоровое питание: от функционального питания до персонализированного меню (72 часа);</w:t>
      </w:r>
    </w:p>
    <w:p>
      <w:pPr>
        <w:pStyle w:val="Normal"/>
        <w:spacing w:before="0" w:after="0"/>
        <w:contextualSpacing/>
        <w:jc w:val="both"/>
        <w:rPr>
          <w:rFonts w:ascii="Times New Roman" w:hAnsi="Times New Roman" w:eastAsia="Calibri" w:cs="Times New Roman"/>
          <w:i/>
          <w:i/>
          <w:sz w:val="28"/>
          <w:szCs w:val="28"/>
        </w:rPr>
      </w:pPr>
      <w:r>
        <w:rPr>
          <w:rFonts w:eastAsia="Calibri" w:cs="Times New Roman" w:ascii="Times New Roman" w:hAnsi="Times New Roman"/>
          <w:i/>
          <w:sz w:val="28"/>
          <w:szCs w:val="28"/>
        </w:rPr>
        <w:t>Школа проектной деятельности (58 часов);</w:t>
      </w:r>
    </w:p>
    <w:p>
      <w:pPr>
        <w:pStyle w:val="Normal"/>
        <w:spacing w:before="0" w:after="0"/>
        <w:contextualSpacing/>
        <w:jc w:val="both"/>
        <w:rPr>
          <w:rFonts w:ascii="Times New Roman" w:hAnsi="Times New Roman" w:eastAsia="Calibri" w:cs="Times New Roman"/>
          <w:i/>
          <w:i/>
          <w:sz w:val="28"/>
          <w:szCs w:val="28"/>
        </w:rPr>
      </w:pPr>
      <w:r>
        <w:rPr>
          <w:rFonts w:eastAsia="Calibri" w:cs="Times New Roman" w:ascii="Times New Roman" w:hAnsi="Times New Roman"/>
          <w:i/>
          <w:sz w:val="28"/>
          <w:szCs w:val="28"/>
        </w:rPr>
        <w:t>Личная и командная эффективность (58 часов);</w:t>
      </w:r>
    </w:p>
    <w:p>
      <w:pPr>
        <w:pStyle w:val="Normal"/>
        <w:spacing w:before="0" w:after="0"/>
        <w:contextualSpacing/>
        <w:jc w:val="both"/>
        <w:rPr>
          <w:rFonts w:ascii="Times New Roman" w:hAnsi="Times New Roman" w:eastAsia="Calibri" w:cs="Times New Roman"/>
          <w:i/>
          <w:i/>
          <w:sz w:val="28"/>
          <w:szCs w:val="28"/>
        </w:rPr>
      </w:pPr>
      <w:r>
        <w:rPr>
          <w:rFonts w:eastAsia="Calibri" w:cs="Times New Roman" w:ascii="Times New Roman" w:hAnsi="Times New Roman"/>
          <w:i/>
          <w:sz w:val="28"/>
          <w:szCs w:val="28"/>
        </w:rPr>
        <w:t>Проектное управление в решении задач регионального развития (58 часов);</w:t>
      </w:r>
    </w:p>
    <w:p>
      <w:pPr>
        <w:pStyle w:val="Normal"/>
        <w:spacing w:before="0" w:after="0"/>
        <w:contextualSpacing/>
        <w:jc w:val="both"/>
        <w:rPr>
          <w:rFonts w:ascii="Times New Roman" w:hAnsi="Times New Roman" w:eastAsia="Calibri" w:cs="Times New Roman"/>
          <w:i/>
          <w:i/>
          <w:sz w:val="28"/>
          <w:szCs w:val="28"/>
        </w:rPr>
      </w:pPr>
      <w:r>
        <w:rPr>
          <w:rFonts w:eastAsia="Calibri" w:cs="Times New Roman" w:ascii="Times New Roman" w:hAnsi="Times New Roman"/>
          <w:i/>
          <w:sz w:val="28"/>
          <w:szCs w:val="28"/>
        </w:rPr>
        <w:t>Топ-менеджер. Управление проектами(72 часа);</w:t>
      </w:r>
    </w:p>
    <w:p>
      <w:pPr>
        <w:pStyle w:val="Normal"/>
        <w:spacing w:before="0" w:after="0"/>
        <w:contextualSpacing/>
        <w:jc w:val="both"/>
        <w:rPr>
          <w:rFonts w:ascii="Times New Roman" w:hAnsi="Times New Roman" w:eastAsia="Calibri" w:cs="Times New Roman"/>
          <w:i/>
          <w:i/>
          <w:sz w:val="28"/>
          <w:szCs w:val="28"/>
        </w:rPr>
      </w:pPr>
      <w:r>
        <w:rPr>
          <w:rFonts w:eastAsia="Calibri" w:cs="Times New Roman" w:ascii="Times New Roman" w:hAnsi="Times New Roman"/>
          <w:i/>
          <w:sz w:val="28"/>
          <w:szCs w:val="28"/>
        </w:rPr>
        <w:t>Топ-менеджер. Современные технологии в управлении командой (72 часа);</w:t>
      </w:r>
    </w:p>
    <w:p>
      <w:pPr>
        <w:pStyle w:val="Normal"/>
        <w:spacing w:lineRule="auto" w:line="240" w:before="0" w:after="120"/>
        <w:contextualSpacing/>
        <w:jc w:val="both"/>
        <w:rPr>
          <w:rFonts w:ascii="Times New Roman" w:hAnsi="Times New Roman" w:eastAsia="Calibri" w:cs="Times New Roman"/>
          <w:i/>
          <w:i/>
          <w:sz w:val="28"/>
          <w:szCs w:val="28"/>
        </w:rPr>
      </w:pPr>
      <w:r>
        <w:rPr>
          <w:rFonts w:eastAsia="Calibri" w:cs="Times New Roman" w:ascii="Times New Roman" w:hAnsi="Times New Roman"/>
          <w:i/>
          <w:sz w:val="28"/>
          <w:szCs w:val="28"/>
        </w:rPr>
        <w:t>Проектное и цифровое управление в государственном и муниципальном управлении.</w:t>
      </w:r>
    </w:p>
    <w:p>
      <w:pPr>
        <w:pStyle w:val="Normal"/>
        <w:spacing w:lineRule="auto" w:line="240" w:before="0" w:after="120"/>
        <w:contextualSpacing/>
        <w:jc w:val="both"/>
        <w:rPr>
          <w:rFonts w:ascii="Times New Roman" w:hAnsi="Times New Roman" w:eastAsia="Calibri" w:cs="Times New Roman"/>
          <w:i/>
          <w:i/>
          <w:sz w:val="28"/>
          <w:szCs w:val="28"/>
        </w:rPr>
      </w:pPr>
      <w:r>
        <w:rPr>
          <w:rFonts w:eastAsia="Calibri"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40" w:before="0" w:after="120"/>
        <w:contextualSpacing/>
        <w:jc w:val="both"/>
        <w:rPr>
          <w:rFonts w:ascii="Times New Roman" w:hAnsi="Times New Roman" w:eastAsia="Calibri" w:cs="Times New Roman"/>
          <w:b/>
          <w:b/>
          <w:bCs/>
          <w:i/>
          <w:i/>
          <w:sz w:val="28"/>
          <w:szCs w:val="28"/>
        </w:rPr>
      </w:pPr>
      <w:r>
        <w:rPr>
          <w:rFonts w:eastAsia="Calibri" w:cs="Times New Roman" w:ascii="Times New Roman" w:hAnsi="Times New Roman"/>
          <w:b/>
          <w:bCs/>
          <w:i/>
          <w:sz w:val="28"/>
          <w:szCs w:val="28"/>
        </w:rPr>
        <w:t>НАПРИМЕР:</w:t>
      </w:r>
    </w:p>
    <w:p>
      <w:pPr>
        <w:pStyle w:val="Normal"/>
        <w:spacing w:lineRule="auto" w:line="240" w:before="0" w:after="120"/>
        <w:contextualSpacing/>
        <w:jc w:val="both"/>
        <w:rPr>
          <w:rFonts w:ascii="Times New Roman" w:hAnsi="Times New Roman" w:eastAsia="Calibri" w:cs="Times New Roman"/>
          <w:i/>
          <w:i/>
          <w:sz w:val="28"/>
          <w:szCs w:val="28"/>
        </w:rPr>
      </w:pPr>
      <w:r>
        <w:rPr>
          <w:rFonts w:eastAsia="Calibri" w:cs="Times New Roman" w:ascii="Times New Roman" w:hAnsi="Times New Roman"/>
          <w:i/>
          <w:sz w:val="28"/>
          <w:szCs w:val="28"/>
        </w:rPr>
      </w:r>
    </w:p>
    <w:p>
      <w:pPr>
        <w:pStyle w:val="3"/>
        <w:shd w:val="clear" w:color="auto" w:fill="FFFFFF"/>
        <w:spacing w:lineRule="auto" w:line="360" w:beforeAutospacing="0" w:before="0" w:afterAutospacing="0" w:after="0"/>
        <w:ind w:firstLine="851"/>
        <w:jc w:val="both"/>
        <w:rPr>
          <w:sz w:val="28"/>
          <w:szCs w:val="28"/>
        </w:rPr>
      </w:pPr>
      <w:r>
        <w:rPr/>
        <w:drawing>
          <wp:inline distT="0" distB="6350" distL="0" distR="0">
            <wp:extent cx="4876800" cy="3143250"/>
            <wp:effectExtent l="0" t="0" r="0" b="0"/>
            <wp:docPr id="6" name="Изображение2" descr="cid:image001.png@01D86552.E021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cid:image001.png@01D86552.E021E1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lineRule="auto" w:line="360" w:beforeAutospacing="0" w:before="0" w:afterAutospacing="0" w:after="0"/>
        <w:ind w:firstLine="709"/>
        <w:jc w:val="both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>рисунок 6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Затем на странице выбранной программы нужно нажать на кнопку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«Подать заявку» или «Подать заявление».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подачи заявления появится окно для входа на портал (и далее необходима регистрация на портале), рекомендуем использовать ЕСИА (единую учетную запись на портале Госуслуги) (см. рисунок 7)</w:t>
      </w:r>
      <w:r>
        <w:rPr>
          <w:rFonts w:eastAsia="Calibri"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9525" distL="0" distR="0">
            <wp:extent cx="6115050" cy="3609975"/>
            <wp:effectExtent l="0" t="0" r="0" b="0"/>
            <wp:docPr id="7" name="Изображение3" descr="cid:image001.png@01D86551.09A67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" descr="cid:image001.png@01D86551.09A6759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7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Как только вы пройдете регистрацию на портале, появится страница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«Подачи заявки»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или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«Карточка заявления».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Необходимо заполнить все обязательные поля </w:t>
      </w:r>
      <w:r>
        <w:rPr>
          <w:rFonts w:cs="Times New Roman" w:ascii="Times New Roman" w:hAnsi="Times New Roman"/>
          <w:sz w:val="28"/>
          <w:szCs w:val="28"/>
        </w:rPr>
        <w:t>и нажать кнопку «Отправить заявку».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После подачи заявки на Вашу электронную почту, указанную при подаче заявки, будет направлено письмо с логином и паролем от личного кабинета ДПО РАНХиГС. Необходимо заполнить регистрационную форму и прикрепить запрашиваемые документы. </w:t>
      </w:r>
    </w:p>
    <w:p>
      <w:pPr>
        <w:pStyle w:val="Normal"/>
        <w:spacing w:before="0" w:after="200"/>
        <w:jc w:val="both"/>
        <w:rPr/>
      </w:pPr>
      <w:r>
        <w:rPr/>
      </w:r>
    </w:p>
    <w:sectPr>
      <w:type w:val="nextPage"/>
      <w:pgSz w:w="11906" w:h="16838"/>
      <w:pgMar w:left="1701" w:right="849" w:header="0" w:top="851" w:footer="0" w:bottom="42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3">
    <w:name w:val="Heading 3"/>
    <w:basedOn w:val="Normal"/>
    <w:link w:val="30"/>
    <w:uiPriority w:val="9"/>
    <w:qFormat/>
    <w:rsid w:val="001e4403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a3"/>
    <w:uiPriority w:val="99"/>
    <w:semiHidden/>
    <w:qFormat/>
    <w:rsid w:val="004f50f3"/>
    <w:rPr>
      <w:rFonts w:ascii="Tahoma" w:hAnsi="Tahoma" w:cs="Tahoma"/>
      <w:sz w:val="16"/>
      <w:szCs w:val="16"/>
    </w:rPr>
  </w:style>
  <w:style w:type="character" w:styleId="Style14">
    <w:name w:val="Интернет-ссылка"/>
    <w:basedOn w:val="DefaultParagraphFont"/>
    <w:uiPriority w:val="99"/>
    <w:unhideWhenUsed/>
    <w:rsid w:val="00c84370"/>
    <w:rPr>
      <w:color w:val="0000FF" w:themeColor="hyperlink"/>
      <w:u w:val="single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1e4403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2a049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476db"/>
    <w:rPr>
      <w:b/>
      <w:bCs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3c1fa1"/>
    <w:rPr>
      <w:color w:val="605E5C"/>
      <w:shd w:fill="E1DFDD" w:val="clear"/>
    </w:rPr>
  </w:style>
  <w:style w:type="character" w:styleId="ListLabel1">
    <w:name w:val="ListLabel 1"/>
    <w:qFormat/>
    <w:rPr>
      <w:rFonts w:ascii="Times New Roman" w:hAnsi="Times New Roman" w:cs="Times New Roman"/>
      <w:sz w:val="28"/>
      <w:szCs w:val="28"/>
    </w:rPr>
  </w:style>
  <w:style w:type="character" w:styleId="ListLabel2">
    <w:name w:val="ListLabel 2"/>
    <w:qFormat/>
    <w:rPr>
      <w:rFonts w:ascii="Times New Roman" w:hAnsi="Times New Roman" w:eastAsia="Calibri" w:cs="Times New Roman"/>
      <w:color w:val="548DD4" w:themeColor="text2" w:themeTint="99"/>
      <w:sz w:val="28"/>
      <w:szCs w:val="28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4f50f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trudvsem.ru/" TargetMode="External"/><Relationship Id="rId3" Type="http://schemas.openxmlformats.org/officeDocument/2006/relationships/hyperlink" Target="https://trudvsem.ru/information-pages/support-employment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LibreOffice/6.0.6.2$Windows_X86_64 LibreOffice_project/0c292870b25a325b5ed35f6b45599d2ea4458e77</Application>
  <Pages>5</Pages>
  <Words>321</Words>
  <Characters>2124</Characters>
  <CharactersWithSpaces>2422</CharactersWithSpaces>
  <Paragraphs>36</Paragraphs>
  <Company>*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2022-05-23T14:16:00Z</dcterms:created>
  <dc:creator>svs</dc:creator>
  <dc:description/>
  <dc:language>ru-RU</dc:language>
  <cp:lastModifiedBy/>
  <cp:lastPrinted>2022-04-24T00:04:00Z</cp:lastPrinted>
  <dcterms:modified xsi:type="dcterms:W3CDTF">2022-05-30T14:00:34Z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